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118"/>
        <w:gridCol w:w="2694"/>
        <w:gridCol w:w="2409"/>
      </w:tblGrid>
      <w:tr w:rsidR="00290C4F" w:rsidRPr="00317354" w14:paraId="24A43D2E" w14:textId="77777777" w:rsidTr="00C14303">
        <w:tc>
          <w:tcPr>
            <w:tcW w:w="2552" w:type="dxa"/>
            <w:shd w:val="clear" w:color="auto" w:fill="00B0F0"/>
          </w:tcPr>
          <w:p w14:paraId="659F2CC4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Name &amp; Amount</w:t>
            </w:r>
          </w:p>
        </w:tc>
        <w:tc>
          <w:tcPr>
            <w:tcW w:w="2552" w:type="dxa"/>
            <w:shd w:val="clear" w:color="auto" w:fill="00B0F0"/>
          </w:tcPr>
          <w:p w14:paraId="26854022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Define</w:t>
            </w:r>
          </w:p>
          <w:p w14:paraId="60FA2587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for)</w:t>
            </w:r>
          </w:p>
        </w:tc>
        <w:tc>
          <w:tcPr>
            <w:tcW w:w="3118" w:type="dxa"/>
            <w:shd w:val="clear" w:color="auto" w:fill="00B0F0"/>
          </w:tcPr>
          <w:p w14:paraId="777E8953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Timeline</w:t>
            </w:r>
          </w:p>
          <w:p w14:paraId="4C673AD3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  <w:sz w:val="18"/>
                <w:szCs w:val="18"/>
              </w:rPr>
            </w:pPr>
            <w:r w:rsidRPr="00317354">
              <w:rPr>
                <w:rFonts w:cstheme="minorHAnsi"/>
                <w:b/>
                <w:bCs/>
                <w:sz w:val="18"/>
                <w:szCs w:val="18"/>
              </w:rPr>
              <w:t>(To be used when)</w:t>
            </w:r>
          </w:p>
        </w:tc>
        <w:tc>
          <w:tcPr>
            <w:tcW w:w="2694" w:type="dxa"/>
            <w:shd w:val="clear" w:color="auto" w:fill="00B0F0"/>
          </w:tcPr>
          <w:p w14:paraId="2F488C4A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 xml:space="preserve">Justify Amount </w:t>
            </w:r>
          </w:p>
        </w:tc>
        <w:tc>
          <w:tcPr>
            <w:tcW w:w="2409" w:type="dxa"/>
            <w:shd w:val="clear" w:color="auto" w:fill="00B0F0"/>
          </w:tcPr>
          <w:p w14:paraId="0D3AD258" w14:textId="77777777" w:rsidR="00290C4F" w:rsidRPr="00317354" w:rsidRDefault="00290C4F" w:rsidP="00031CEE">
            <w:pPr>
              <w:ind w:left="0" w:firstLine="0"/>
              <w:rPr>
                <w:rFonts w:cstheme="minorHAnsi"/>
                <w:b/>
                <w:bCs/>
              </w:rPr>
            </w:pPr>
            <w:r w:rsidRPr="00317354">
              <w:rPr>
                <w:rFonts w:cstheme="minorHAnsi"/>
                <w:b/>
                <w:bCs/>
              </w:rPr>
              <w:t>Spending authority</w:t>
            </w:r>
          </w:p>
        </w:tc>
      </w:tr>
      <w:tr w:rsidR="00290C4F" w:rsidRPr="00317354" w14:paraId="5CEC27E2" w14:textId="77777777" w:rsidTr="0099527C">
        <w:tc>
          <w:tcPr>
            <w:tcW w:w="2552" w:type="dxa"/>
          </w:tcPr>
          <w:p w14:paraId="29431922" w14:textId="1F76AC65" w:rsidR="00290C4F" w:rsidRDefault="00E60FA3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99527C">
              <w:rPr>
                <w:rFonts w:cstheme="minorHAnsi"/>
                <w:color w:val="000000" w:themeColor="text1"/>
              </w:rPr>
              <w:t>ransfer $1,612.71 from the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9E520A">
              <w:rPr>
                <w:rFonts w:cstheme="minorHAnsi"/>
                <w:color w:val="000000" w:themeColor="text1"/>
              </w:rPr>
              <w:t>Equipment Reserve</w:t>
            </w:r>
            <w:r w:rsidR="0099527C">
              <w:rPr>
                <w:rFonts w:cstheme="minorHAnsi"/>
                <w:color w:val="000000" w:themeColor="text1"/>
              </w:rPr>
              <w:t xml:space="preserve"> to Training/Succession Planning.</w:t>
            </w:r>
          </w:p>
          <w:p w14:paraId="22B3A7B9" w14:textId="77777777" w:rsidR="0099527C" w:rsidRDefault="0099527C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</w:p>
          <w:p w14:paraId="1418A1E6" w14:textId="3620C85F" w:rsidR="006C57FC" w:rsidRPr="00317354" w:rsidRDefault="006C57FC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(originally passed in the 2019 year-end AGM, </w:t>
            </w:r>
            <w:r w:rsidR="00900430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but didn’t have this form)</w:t>
            </w:r>
          </w:p>
        </w:tc>
        <w:tc>
          <w:tcPr>
            <w:tcW w:w="2552" w:type="dxa"/>
          </w:tcPr>
          <w:p w14:paraId="1C0A3A1E" w14:textId="77777777" w:rsidR="004E0751" w:rsidRDefault="009E520A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Training/Succession Planning</w:t>
            </w:r>
            <w:r w:rsidR="004E0751">
              <w:rPr>
                <w:rFonts w:cstheme="minorHAnsi"/>
                <w:color w:val="000000" w:themeColor="text1"/>
              </w:rPr>
              <w:t xml:space="preserve"> </w:t>
            </w:r>
          </w:p>
          <w:p w14:paraId="1007B8D1" w14:textId="61D3F927" w:rsidR="00290C4F" w:rsidRPr="00317354" w:rsidRDefault="004E0751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 is to be going to the National AMN for the vice president in preparation for succession</w:t>
            </w:r>
          </w:p>
        </w:tc>
        <w:tc>
          <w:tcPr>
            <w:tcW w:w="3118" w:type="dxa"/>
          </w:tcPr>
          <w:p w14:paraId="1349EF9D" w14:textId="7892888E" w:rsidR="00290C4F" w:rsidRPr="00317354" w:rsidRDefault="009E520A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Originally to be used in 2020, but Covid</w:t>
            </w:r>
            <w:r w:rsidR="0099527C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19 came, so expect 2021</w:t>
            </w:r>
            <w:r w:rsidR="006C57FC">
              <w:rPr>
                <w:rFonts w:cstheme="minorHAnsi"/>
                <w:color w:val="000000" w:themeColor="text1"/>
              </w:rPr>
              <w:t>-22</w:t>
            </w:r>
            <w:r>
              <w:rPr>
                <w:rFonts w:cstheme="minorHAnsi"/>
                <w:color w:val="000000" w:themeColor="text1"/>
              </w:rPr>
              <w:t xml:space="preserve"> if able</w:t>
            </w:r>
          </w:p>
        </w:tc>
        <w:tc>
          <w:tcPr>
            <w:tcW w:w="2694" w:type="dxa"/>
          </w:tcPr>
          <w:p w14:paraId="167A0AAB" w14:textId="4D65CD98" w:rsidR="00290C4F" w:rsidRPr="00317354" w:rsidRDefault="009E520A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This is the amount left after the computer purchase.  The price has gone down since the original reserve had been set up.</w:t>
            </w:r>
            <w:r w:rsidR="006C57FC">
              <w:rPr>
                <w:rFonts w:cstheme="minorHAnsi"/>
                <w:color w:val="000000" w:themeColor="text1"/>
              </w:rPr>
              <w:t xml:space="preserve">  </w:t>
            </w:r>
            <w:r w:rsidR="00900430">
              <w:rPr>
                <w:rFonts w:cstheme="minorHAnsi"/>
                <w:color w:val="000000" w:themeColor="text1"/>
              </w:rPr>
              <w:t>We see no need to replace the computer or projector within the next 3 years.</w:t>
            </w:r>
          </w:p>
        </w:tc>
        <w:tc>
          <w:tcPr>
            <w:tcW w:w="2409" w:type="dxa"/>
          </w:tcPr>
          <w:p w14:paraId="62F7F12D" w14:textId="60F3B5B1" w:rsidR="00290C4F" w:rsidRPr="00317354" w:rsidRDefault="006C57FC" w:rsidP="00031CEE">
            <w:pPr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If the amount is under $1,000; the executive will approve, otherwise will go to National for approval</w:t>
            </w:r>
          </w:p>
        </w:tc>
      </w:tr>
      <w:tr w:rsidR="006C57FC" w:rsidRPr="00317354" w14:paraId="352DA515" w14:textId="77777777" w:rsidTr="0099527C">
        <w:tc>
          <w:tcPr>
            <w:tcW w:w="2552" w:type="dxa"/>
          </w:tcPr>
          <w:p w14:paraId="37D00921" w14:textId="45078B67" w:rsidR="006C57FC" w:rsidRDefault="00E60FA3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99527C">
              <w:rPr>
                <w:rFonts w:cstheme="minorHAnsi"/>
                <w:color w:val="000000" w:themeColor="text1"/>
              </w:rPr>
              <w:t xml:space="preserve">ransfer $621,19 from </w:t>
            </w:r>
            <w:r w:rsidR="006C57FC">
              <w:rPr>
                <w:rFonts w:cstheme="minorHAnsi"/>
                <w:color w:val="000000" w:themeColor="text1"/>
              </w:rPr>
              <w:t>Special Events</w:t>
            </w:r>
            <w:r w:rsidR="0099527C">
              <w:rPr>
                <w:rFonts w:cstheme="minorHAnsi"/>
                <w:color w:val="000000" w:themeColor="text1"/>
              </w:rPr>
              <w:t xml:space="preserve"> to Training/ Succession Planning.</w:t>
            </w:r>
          </w:p>
          <w:p w14:paraId="6814B7D1" w14:textId="77777777" w:rsidR="0099527C" w:rsidRDefault="0099527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</w:p>
          <w:p w14:paraId="744B0B13" w14:textId="46FCB767" w:rsidR="006C57FC" w:rsidRPr="00317354" w:rsidRDefault="006C57F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(originally passed in the 2019 year-end AGM, but didn’t have this form)</w:t>
            </w:r>
          </w:p>
        </w:tc>
        <w:tc>
          <w:tcPr>
            <w:tcW w:w="2552" w:type="dxa"/>
          </w:tcPr>
          <w:p w14:paraId="45C67C6D" w14:textId="77777777" w:rsidR="006C57FC" w:rsidRDefault="006C57F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Training/Succession Planning</w:t>
            </w:r>
          </w:p>
          <w:p w14:paraId="7DF4BAFE" w14:textId="6AA02EFF" w:rsidR="004E0751" w:rsidRPr="00317354" w:rsidRDefault="004E0751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 is to be going to the National AMN for the vice president in preparation for succession</w:t>
            </w:r>
          </w:p>
        </w:tc>
        <w:tc>
          <w:tcPr>
            <w:tcW w:w="3118" w:type="dxa"/>
          </w:tcPr>
          <w:p w14:paraId="69F23FBC" w14:textId="40AF2D89" w:rsidR="006C57FC" w:rsidRDefault="006C57F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balance </w:t>
            </w:r>
            <w:r w:rsidR="00900430">
              <w:rPr>
                <w:rFonts w:cstheme="minorHAnsi"/>
                <w:color w:val="000000" w:themeColor="text1"/>
              </w:rPr>
              <w:t xml:space="preserve">left </w:t>
            </w:r>
            <w:r>
              <w:rPr>
                <w:rFonts w:cstheme="minorHAnsi"/>
                <w:color w:val="000000" w:themeColor="text1"/>
              </w:rPr>
              <w:t xml:space="preserve">in the </w:t>
            </w:r>
            <w:r w:rsidR="004E0751">
              <w:rPr>
                <w:rFonts w:cstheme="minorHAnsi"/>
                <w:color w:val="000000" w:themeColor="text1"/>
              </w:rPr>
              <w:t xml:space="preserve">Special Events </w:t>
            </w:r>
            <w:r>
              <w:rPr>
                <w:rFonts w:cstheme="minorHAnsi"/>
                <w:color w:val="000000" w:themeColor="text1"/>
              </w:rPr>
              <w:t>account of $1,198.81 is marked for 2021 for meet and greets with candidates for the federal election</w:t>
            </w:r>
            <w:r w:rsidR="004E0751">
              <w:rPr>
                <w:rFonts w:cstheme="minorHAnsi"/>
                <w:color w:val="000000" w:themeColor="text1"/>
              </w:rPr>
              <w:t>.</w:t>
            </w:r>
          </w:p>
          <w:p w14:paraId="30B697D6" w14:textId="5D2ADAE3" w:rsidR="00900430" w:rsidRPr="00317354" w:rsidRDefault="00900430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Training/Succession planning:  Originally to be used in 2020, but Covid</w:t>
            </w:r>
            <w:r w:rsidR="0099527C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19 came, so expect 2021-22 if able</w:t>
            </w:r>
          </w:p>
        </w:tc>
        <w:tc>
          <w:tcPr>
            <w:tcW w:w="2694" w:type="dxa"/>
          </w:tcPr>
          <w:p w14:paraId="39FFDFBA" w14:textId="77777777" w:rsidR="006C57FC" w:rsidRDefault="006C57F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This reserve has been on the books for several years and not marked for any specific event.</w:t>
            </w:r>
          </w:p>
          <w:p w14:paraId="67EBC66E" w14:textId="4A9CBC9D" w:rsidR="004E0751" w:rsidRPr="00317354" w:rsidRDefault="004E0751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The total amount </w:t>
            </w:r>
            <w:r w:rsidR="00900430">
              <w:rPr>
                <w:rFonts w:cstheme="minorHAnsi"/>
                <w:color w:val="000000" w:themeColor="text1"/>
              </w:rPr>
              <w:t>transferred will be used with the above</w:t>
            </w:r>
            <w:r>
              <w:rPr>
                <w:rFonts w:cstheme="minorHAnsi"/>
                <w:color w:val="000000" w:themeColor="text1"/>
              </w:rPr>
              <w:t xml:space="preserve"> to sen</w:t>
            </w:r>
            <w:r w:rsidR="0099527C">
              <w:rPr>
                <w:rFonts w:cstheme="minorHAnsi"/>
                <w:color w:val="000000" w:themeColor="text1"/>
              </w:rPr>
              <w:t>d</w:t>
            </w:r>
            <w:r w:rsidR="00900430">
              <w:rPr>
                <w:rFonts w:cstheme="minorHAnsi"/>
                <w:color w:val="000000" w:themeColor="text1"/>
              </w:rPr>
              <w:t xml:space="preserve"> a</w:t>
            </w:r>
            <w:r>
              <w:rPr>
                <w:rFonts w:cstheme="minorHAnsi"/>
                <w:color w:val="000000" w:themeColor="text1"/>
              </w:rPr>
              <w:t xml:space="preserve"> member to Ottawa for AMM</w:t>
            </w:r>
            <w:r w:rsidR="00900430">
              <w:rPr>
                <w:rFonts w:cstheme="minorHAnsi"/>
                <w:color w:val="000000" w:themeColor="text1"/>
              </w:rPr>
              <w:t xml:space="preserve"> with any extra for regional training travel.</w:t>
            </w:r>
          </w:p>
        </w:tc>
        <w:tc>
          <w:tcPr>
            <w:tcW w:w="2409" w:type="dxa"/>
          </w:tcPr>
          <w:p w14:paraId="5B28540F" w14:textId="0F5D09CE" w:rsidR="006C57FC" w:rsidRPr="00317354" w:rsidRDefault="006C57FC" w:rsidP="0099527C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If the amount is under $1,000; the executive will approve, otherwise will go to National for approval</w:t>
            </w:r>
          </w:p>
        </w:tc>
      </w:tr>
      <w:tr w:rsidR="006C57FC" w:rsidRPr="00317354" w14:paraId="77D877BB" w14:textId="77777777" w:rsidTr="00C14303">
        <w:trPr>
          <w:trHeight w:val="1897"/>
        </w:trPr>
        <w:tc>
          <w:tcPr>
            <w:tcW w:w="2552" w:type="dxa"/>
          </w:tcPr>
          <w:p w14:paraId="5F49652E" w14:textId="1313416B" w:rsidR="004E0751" w:rsidRPr="005B68BD" w:rsidRDefault="0099527C" w:rsidP="00C14303">
            <w:pPr>
              <w:spacing w:before="60"/>
              <w:ind w:left="0" w:firstLine="0"/>
              <w:rPr>
                <w:rFonts w:cstheme="minorHAnsi"/>
                <w:b/>
                <w:bCs/>
                <w:color w:val="000000" w:themeColor="text1"/>
              </w:rPr>
            </w:pPr>
            <w:r w:rsidRPr="005B68BD">
              <w:rPr>
                <w:rFonts w:cstheme="minorHAnsi"/>
                <w:b/>
                <w:bCs/>
                <w:color w:val="000000" w:themeColor="text1"/>
              </w:rPr>
              <w:t>Motion to transfer e</w:t>
            </w:r>
            <w:r w:rsidR="004E0751" w:rsidRPr="005B68BD">
              <w:rPr>
                <w:rFonts w:cstheme="minorHAnsi"/>
                <w:b/>
                <w:bCs/>
                <w:color w:val="000000" w:themeColor="text1"/>
              </w:rPr>
              <w:t xml:space="preserve">xcess contingency </w:t>
            </w:r>
            <w:r w:rsidRPr="005B68BD">
              <w:rPr>
                <w:rFonts w:cstheme="minorHAnsi"/>
                <w:b/>
                <w:bCs/>
                <w:color w:val="000000" w:themeColor="text1"/>
              </w:rPr>
              <w:t>of</w:t>
            </w:r>
          </w:p>
          <w:p w14:paraId="32D01D10" w14:textId="1E72EA9E" w:rsidR="006C57FC" w:rsidRPr="005B68BD" w:rsidRDefault="00900430" w:rsidP="00C14303">
            <w:pPr>
              <w:spacing w:before="60"/>
              <w:ind w:left="0" w:firstLine="0"/>
              <w:rPr>
                <w:rFonts w:cstheme="minorHAnsi"/>
                <w:b/>
                <w:bCs/>
                <w:color w:val="000000" w:themeColor="text1"/>
              </w:rPr>
            </w:pPr>
            <w:r w:rsidRPr="005B68BD">
              <w:rPr>
                <w:rFonts w:cstheme="minorHAnsi"/>
                <w:b/>
                <w:bCs/>
                <w:color w:val="000000" w:themeColor="text1"/>
              </w:rPr>
              <w:t>80.79</w:t>
            </w:r>
            <w:r w:rsidR="0099527C" w:rsidRPr="005B68BD">
              <w:rPr>
                <w:rFonts w:cstheme="minorHAnsi"/>
                <w:b/>
                <w:bCs/>
                <w:color w:val="000000" w:themeColor="text1"/>
              </w:rPr>
              <w:t xml:space="preserve"> to Training/ Succession Planning.</w:t>
            </w:r>
          </w:p>
          <w:p w14:paraId="1FC341AD" w14:textId="4C0C753A" w:rsidR="006C57FC" w:rsidRDefault="006C57FC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</w:p>
          <w:p w14:paraId="5471FC7D" w14:textId="42FB03DD" w:rsidR="006C57FC" w:rsidRPr="00317354" w:rsidRDefault="006C57FC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07427C5D" w14:textId="77777777" w:rsidR="006C57FC" w:rsidRDefault="004E0751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Training/Succession Planning</w:t>
            </w:r>
          </w:p>
          <w:p w14:paraId="33F018DC" w14:textId="79177E50" w:rsidR="004E0751" w:rsidRPr="00317354" w:rsidRDefault="004E0751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Training is to be going to other training sessions that require travel to cross train for succession</w:t>
            </w:r>
            <w:r w:rsidR="00C1430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14:paraId="406025A5" w14:textId="0A0D86CB" w:rsidR="006C57FC" w:rsidRDefault="004E0751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 be used in 2021, if possible, otherwise 2022</w:t>
            </w:r>
          </w:p>
          <w:p w14:paraId="1CF67469" w14:textId="38521799" w:rsidR="006C57FC" w:rsidRPr="006C57FC" w:rsidRDefault="006C57FC" w:rsidP="00C14303">
            <w:pPr>
              <w:spacing w:before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34CB23" w14:textId="0E9F7D4E" w:rsidR="006C57FC" w:rsidRPr="00317354" w:rsidRDefault="004E0751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amount</w:t>
            </w:r>
            <w:r w:rsidR="00900430">
              <w:rPr>
                <w:rFonts w:cstheme="minorHAnsi"/>
                <w:color w:val="000000" w:themeColor="text1"/>
              </w:rPr>
              <w:t xml:space="preserve"> will increase the amount available </w:t>
            </w:r>
            <w:r>
              <w:rPr>
                <w:rFonts w:cstheme="minorHAnsi"/>
                <w:color w:val="000000" w:themeColor="text1"/>
              </w:rPr>
              <w:t>to send a member to the Vancouver lower mainland for a training session.</w:t>
            </w:r>
          </w:p>
        </w:tc>
        <w:tc>
          <w:tcPr>
            <w:tcW w:w="2409" w:type="dxa"/>
          </w:tcPr>
          <w:p w14:paraId="0661FAA0" w14:textId="5F6DC89C" w:rsidR="006C57FC" w:rsidRPr="00317354" w:rsidRDefault="004E0751" w:rsidP="00C14303">
            <w:pPr>
              <w:spacing w:before="60"/>
              <w:ind w:left="0" w:firstLine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If the amount is under $1,000; the executive will approve, otherwise will go to National for approval</w:t>
            </w:r>
          </w:p>
        </w:tc>
      </w:tr>
    </w:tbl>
    <w:p w14:paraId="03D5A4FF" w14:textId="77777777" w:rsidR="00290C4F" w:rsidRDefault="00290C4F" w:rsidP="00290C4F">
      <w:pPr>
        <w:rPr>
          <w:rFonts w:cstheme="minorHAnsi"/>
        </w:rPr>
      </w:pPr>
    </w:p>
    <w:p w14:paraId="43769BF1" w14:textId="17A4C74B" w:rsidR="00290C4F" w:rsidRPr="00290C4F" w:rsidRDefault="00290C4F" w:rsidP="00900430">
      <w:pPr>
        <w:spacing w:after="240" w:line="240" w:lineRule="auto"/>
        <w:rPr>
          <w:rFonts w:cstheme="minorHAnsi"/>
        </w:rPr>
      </w:pPr>
      <w:r w:rsidRPr="00290C4F">
        <w:rPr>
          <w:rFonts w:cstheme="minorHAnsi"/>
        </w:rPr>
        <w:t>Moved by _________________, Seconded by _________________</w:t>
      </w:r>
      <w:r>
        <w:rPr>
          <w:rFonts w:cstheme="minorHAnsi"/>
        </w:rPr>
        <w:t>.</w:t>
      </w:r>
      <w:r w:rsidRPr="00290C4F">
        <w:rPr>
          <w:rFonts w:cstheme="minorHAnsi"/>
        </w:rPr>
        <w:t xml:space="preserve"> Carried / Not Carried</w:t>
      </w:r>
    </w:p>
    <w:p w14:paraId="5E63FCA9" w14:textId="0CEC396B" w:rsidR="00290C4F" w:rsidRPr="00317354" w:rsidRDefault="00290C4F" w:rsidP="00290C4F">
      <w:pPr>
        <w:rPr>
          <w:rFonts w:cstheme="minorHAnsi"/>
        </w:rPr>
      </w:pPr>
      <w:r w:rsidRPr="00290C4F">
        <w:rPr>
          <w:rFonts w:cstheme="minorHAnsi"/>
          <w:b/>
          <w:bCs/>
        </w:rPr>
        <w:t>Note:</w:t>
      </w:r>
      <w:r w:rsidRPr="00290C4F">
        <w:rPr>
          <w:rFonts w:cstheme="minorHAnsi"/>
        </w:rPr>
        <w:t xml:space="preserve"> </w:t>
      </w:r>
      <w:r w:rsidR="009B1561">
        <w:rPr>
          <w:rFonts w:cstheme="minorHAnsi"/>
        </w:rPr>
        <w:t>Either c</w:t>
      </w:r>
      <w:r w:rsidRPr="00290C4F">
        <w:rPr>
          <w:rFonts w:cstheme="minorHAnsi"/>
        </w:rPr>
        <w:t xml:space="preserve">opy </w:t>
      </w:r>
      <w:r>
        <w:rPr>
          <w:rFonts w:cstheme="minorHAnsi"/>
        </w:rPr>
        <w:t>and</w:t>
      </w:r>
      <w:r w:rsidRPr="00290C4F">
        <w:rPr>
          <w:rFonts w:cstheme="minorHAnsi"/>
        </w:rPr>
        <w:t xml:space="preserve"> paste</w:t>
      </w:r>
      <w:r>
        <w:rPr>
          <w:rFonts w:cstheme="minorHAnsi"/>
        </w:rPr>
        <w:t xml:space="preserve"> th</w:t>
      </w:r>
      <w:r w:rsidR="003C5D7D">
        <w:rPr>
          <w:rFonts w:cstheme="minorHAnsi"/>
        </w:rPr>
        <w:t>e filled-out</w:t>
      </w:r>
      <w:r>
        <w:rPr>
          <w:rFonts w:cstheme="minorHAnsi"/>
        </w:rPr>
        <w:t xml:space="preserve"> table </w:t>
      </w:r>
      <w:r w:rsidRPr="00290C4F">
        <w:rPr>
          <w:rFonts w:cstheme="minorHAnsi"/>
        </w:rPr>
        <w:t>directly in</w:t>
      </w:r>
      <w:r>
        <w:rPr>
          <w:rFonts w:cstheme="minorHAnsi"/>
        </w:rPr>
        <w:t>to</w:t>
      </w:r>
      <w:r w:rsidRPr="00290C4F">
        <w:rPr>
          <w:rFonts w:cstheme="minorHAnsi"/>
        </w:rPr>
        <w:t xml:space="preserve"> the</w:t>
      </w:r>
      <w:r>
        <w:rPr>
          <w:rFonts w:cstheme="minorHAnsi"/>
        </w:rPr>
        <w:t xml:space="preserve"> AGM/GM </w:t>
      </w:r>
      <w:r w:rsidRPr="00290C4F">
        <w:rPr>
          <w:rFonts w:cstheme="minorHAnsi"/>
        </w:rPr>
        <w:t>minutes or attach</w:t>
      </w:r>
      <w:r>
        <w:rPr>
          <w:rFonts w:cstheme="minorHAnsi"/>
        </w:rPr>
        <w:t xml:space="preserve"> it</w:t>
      </w:r>
      <w:r w:rsidRPr="00290C4F">
        <w:rPr>
          <w:rFonts w:cstheme="minorHAnsi"/>
        </w:rPr>
        <w:t xml:space="preserve"> to minutes </w:t>
      </w:r>
      <w:r w:rsidR="003C5D7D" w:rsidRPr="003C5D7D">
        <w:rPr>
          <w:rFonts w:cstheme="minorHAnsi"/>
          <w:b/>
          <w:bCs/>
        </w:rPr>
        <w:t>only if</w:t>
      </w:r>
      <w:r w:rsidR="003C5D7D" w:rsidRPr="00290C4F">
        <w:rPr>
          <w:rFonts w:cstheme="minorHAnsi"/>
        </w:rPr>
        <w:t xml:space="preserve"> </w:t>
      </w:r>
      <w:r w:rsidRPr="00290C4F">
        <w:rPr>
          <w:rFonts w:cstheme="minorHAnsi"/>
        </w:rPr>
        <w:t xml:space="preserve">amounts represented </w:t>
      </w:r>
      <w:r w:rsidR="003C5D7D">
        <w:rPr>
          <w:rFonts w:cstheme="minorHAnsi"/>
        </w:rPr>
        <w:t xml:space="preserve">in the </w:t>
      </w:r>
      <w:r w:rsidR="00840674">
        <w:rPr>
          <w:rFonts w:cstheme="minorHAnsi"/>
        </w:rPr>
        <w:t xml:space="preserve">above </w:t>
      </w:r>
      <w:r w:rsidR="003C5D7D">
        <w:rPr>
          <w:rFonts w:cstheme="minorHAnsi"/>
        </w:rPr>
        <w:t>table</w:t>
      </w:r>
      <w:r>
        <w:rPr>
          <w:rFonts w:cstheme="minorHAnsi"/>
        </w:rPr>
        <w:t xml:space="preserve"> </w:t>
      </w:r>
      <w:r w:rsidRPr="00290C4F">
        <w:rPr>
          <w:rFonts w:cstheme="minorHAnsi"/>
        </w:rPr>
        <w:t>also appear in the minutes</w:t>
      </w:r>
      <w:r>
        <w:rPr>
          <w:rFonts w:cstheme="minorHAnsi"/>
        </w:rPr>
        <w:t>.  T</w:t>
      </w:r>
      <w:r w:rsidRPr="00290C4F">
        <w:rPr>
          <w:rFonts w:cstheme="minorHAnsi"/>
        </w:rPr>
        <w:t>his</w:t>
      </w:r>
      <w:r>
        <w:rPr>
          <w:rFonts w:cstheme="minorHAnsi"/>
        </w:rPr>
        <w:t xml:space="preserve"> will</w:t>
      </w:r>
      <w:r w:rsidRPr="00290C4F">
        <w:rPr>
          <w:rFonts w:cstheme="minorHAnsi"/>
        </w:rPr>
        <w:t xml:space="preserve"> help to tie the minutes to the attachment to ensure the documents referred to agre</w:t>
      </w:r>
      <w:r>
        <w:rPr>
          <w:rFonts w:cstheme="minorHAnsi"/>
        </w:rPr>
        <w:t>e.</w:t>
      </w:r>
    </w:p>
    <w:sectPr w:rsidR="00290C4F" w:rsidRPr="00317354" w:rsidSect="0099527C">
      <w:headerReference w:type="default" r:id="rId6"/>
      <w:pgSz w:w="15840" w:h="12240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0093" w14:textId="77777777" w:rsidR="00301D29" w:rsidRDefault="00301D29" w:rsidP="00134602">
      <w:pPr>
        <w:spacing w:after="0" w:line="240" w:lineRule="auto"/>
      </w:pPr>
      <w:r>
        <w:separator/>
      </w:r>
    </w:p>
  </w:endnote>
  <w:endnote w:type="continuationSeparator" w:id="0">
    <w:p w14:paraId="3BEADA2D" w14:textId="77777777" w:rsidR="00301D29" w:rsidRDefault="00301D29" w:rsidP="001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D87E" w14:textId="77777777" w:rsidR="00301D29" w:rsidRDefault="00301D29" w:rsidP="00134602">
      <w:pPr>
        <w:spacing w:after="0" w:line="240" w:lineRule="auto"/>
      </w:pPr>
      <w:r>
        <w:separator/>
      </w:r>
    </w:p>
  </w:footnote>
  <w:footnote w:type="continuationSeparator" w:id="0">
    <w:p w14:paraId="70F3807B" w14:textId="77777777" w:rsidR="00301D29" w:rsidRDefault="00301D29" w:rsidP="0013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7F40" w14:textId="3E76ED7B" w:rsidR="00134602" w:rsidRDefault="00C1430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46BECE04" wp14:editId="738169E9">
              <wp:simplePos x="0" y="0"/>
              <wp:positionH relativeFrom="margin">
                <wp:posOffset>-171450</wp:posOffset>
              </wp:positionH>
              <wp:positionV relativeFrom="topMargin">
                <wp:posOffset>482600</wp:posOffset>
              </wp:positionV>
              <wp:extent cx="8401050" cy="6051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6051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41D7B0" w14:textId="628467A0" w:rsidR="00134602" w:rsidRPr="00317354" w:rsidRDefault="001346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17354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Reserves motions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ECE04" id="Rectangle 197" o:spid="_x0000_s1026" style="position:absolute;margin-left:-13.5pt;margin-top:38pt;width:661.5pt;height:47.6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" o:allowoverlap="f" fillcolor="#00b0f0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41D7B0" w14:textId="628467A0" w:rsidR="00134602" w:rsidRPr="00317354" w:rsidRDefault="001346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17354"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Reserves motions template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134602">
      <w:rPr>
        <w:noProof/>
      </w:rPr>
      <w:drawing>
        <wp:anchor distT="0" distB="0" distL="114300" distR="114300" simplePos="0" relativeHeight="251657728" behindDoc="0" locked="0" layoutInCell="1" allowOverlap="1" wp14:anchorId="3181B41A" wp14:editId="533528D5">
          <wp:simplePos x="0" y="0"/>
          <wp:positionH relativeFrom="column">
            <wp:posOffset>7673119</wp:posOffset>
          </wp:positionH>
          <wp:positionV relativeFrom="paragraph">
            <wp:posOffset>114935</wp:posOffset>
          </wp:positionV>
          <wp:extent cx="430566" cy="432000"/>
          <wp:effectExtent l="0" t="0" r="7620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R1187_IconWithWebsite-Bilingual_EN-Vertical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02"/>
    <w:rsid w:val="000A7F93"/>
    <w:rsid w:val="0012278F"/>
    <w:rsid w:val="00122FAA"/>
    <w:rsid w:val="00134602"/>
    <w:rsid w:val="0015119D"/>
    <w:rsid w:val="001B08DD"/>
    <w:rsid w:val="00290C4F"/>
    <w:rsid w:val="002A6BA5"/>
    <w:rsid w:val="00301D29"/>
    <w:rsid w:val="00317354"/>
    <w:rsid w:val="003C5D7D"/>
    <w:rsid w:val="00446547"/>
    <w:rsid w:val="004E0751"/>
    <w:rsid w:val="005B68BD"/>
    <w:rsid w:val="005B71A5"/>
    <w:rsid w:val="005C6A91"/>
    <w:rsid w:val="006B63AA"/>
    <w:rsid w:val="006C57FC"/>
    <w:rsid w:val="00776BAE"/>
    <w:rsid w:val="00840674"/>
    <w:rsid w:val="008F2580"/>
    <w:rsid w:val="008F56EC"/>
    <w:rsid w:val="00900430"/>
    <w:rsid w:val="00902793"/>
    <w:rsid w:val="0099527C"/>
    <w:rsid w:val="009B1561"/>
    <w:rsid w:val="009E520A"/>
    <w:rsid w:val="00A451B0"/>
    <w:rsid w:val="00A91022"/>
    <w:rsid w:val="00B23F1E"/>
    <w:rsid w:val="00B301F0"/>
    <w:rsid w:val="00C14303"/>
    <w:rsid w:val="00C23F95"/>
    <w:rsid w:val="00D0036C"/>
    <w:rsid w:val="00D577A5"/>
    <w:rsid w:val="00DC69BC"/>
    <w:rsid w:val="00E11AC9"/>
    <w:rsid w:val="00E60FA3"/>
    <w:rsid w:val="00F4087F"/>
    <w:rsid w:val="00FB72C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8C98"/>
  <w15:chartTrackingRefBased/>
  <w15:docId w15:val="{1A3635A9-1A39-4267-BBFB-BD29084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02"/>
  </w:style>
  <w:style w:type="paragraph" w:styleId="Footer">
    <w:name w:val="footer"/>
    <w:basedOn w:val="Normal"/>
    <w:link w:val="FooterChar"/>
    <w:uiPriority w:val="99"/>
    <w:unhideWhenUsed/>
    <w:rsid w:val="0013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02"/>
  </w:style>
  <w:style w:type="table" w:styleId="TableGrid">
    <w:name w:val="Table Grid"/>
    <w:basedOn w:val="TableNormal"/>
    <w:uiPriority w:val="39"/>
    <w:rsid w:val="001B08DD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motions template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motions template</dc:title>
  <dc:subject/>
  <dc:creator>Joane Miron</dc:creator>
  <cp:keywords/>
  <dc:description/>
  <cp:lastModifiedBy>Deborah Nilsen</cp:lastModifiedBy>
  <cp:revision>2</cp:revision>
  <cp:lastPrinted>2021-02-23T00:09:00Z</cp:lastPrinted>
  <dcterms:created xsi:type="dcterms:W3CDTF">2021-02-23T18:23:00Z</dcterms:created>
  <dcterms:modified xsi:type="dcterms:W3CDTF">2021-02-23T18:23:00Z</dcterms:modified>
</cp:coreProperties>
</file>